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B451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B451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B451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B451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B451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B451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B451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B451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B451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B451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B451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B451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B451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B451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B451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B451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B451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D2DB45F" w14:textId="77777777" w:rsidR="00BA7AB7" w:rsidRDefault="00BA7AB7" w:rsidP="00BA7AB7">
      <w:pPr>
        <w:spacing w:after="0" w:line="240" w:lineRule="auto"/>
        <w:jc w:val="both"/>
        <w:rPr>
          <w:rFonts w:ascii="Times New Roman" w:hAnsi="Times New Roman"/>
          <w:i/>
          <w:sz w:val="20"/>
          <w:szCs w:val="20"/>
        </w:rPr>
      </w:pPr>
    </w:p>
    <w:p w14:paraId="33C0767A" w14:textId="17CF822F" w:rsidR="00BA7AB7" w:rsidRPr="00BA7AB7" w:rsidRDefault="00BA7AB7" w:rsidP="00BA7AB7">
      <w:pPr>
        <w:spacing w:after="0" w:line="240" w:lineRule="auto"/>
        <w:jc w:val="both"/>
        <w:rPr>
          <w:rFonts w:ascii="Times New Roman" w:hAnsi="Times New Roman"/>
          <w:b/>
          <w:i/>
          <w:sz w:val="20"/>
          <w:szCs w:val="20"/>
        </w:rPr>
      </w:pPr>
      <w:r w:rsidRPr="00BA7AB7">
        <w:rPr>
          <w:rFonts w:ascii="Times New Roman" w:hAnsi="Times New Roman"/>
          <w:b/>
          <w:i/>
          <w:sz w:val="20"/>
          <w:szCs w:val="20"/>
        </w:rPr>
        <w:t>El Instituto Municipal de las Mujeres es un organismo descentralizado del Municipio de León creado el día 08 de septiembre del año 2000 para impulsar el desarrollo de la mujer.</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51B080D" w14:textId="77777777" w:rsidR="00BA7AB7" w:rsidRDefault="00BA7AB7" w:rsidP="00BA7AB7">
      <w:pPr>
        <w:spacing w:after="0" w:line="240" w:lineRule="auto"/>
        <w:jc w:val="both"/>
        <w:rPr>
          <w:rFonts w:ascii="Times New Roman" w:hAnsi="Times New Roman"/>
          <w:b/>
          <w:i/>
          <w:sz w:val="20"/>
          <w:szCs w:val="20"/>
        </w:rPr>
      </w:pPr>
    </w:p>
    <w:p w14:paraId="458B06D0" w14:textId="36F08935" w:rsidR="00BA7AB7" w:rsidRPr="00BA7AB7" w:rsidRDefault="00BA7AB7" w:rsidP="00BA7AB7">
      <w:pPr>
        <w:spacing w:after="0" w:line="240" w:lineRule="auto"/>
        <w:jc w:val="both"/>
        <w:rPr>
          <w:rFonts w:ascii="Arial Narrow" w:eastAsia="Times New Roman" w:hAnsi="Arial Narrow"/>
          <w:b/>
          <w:color w:val="000000"/>
          <w:sz w:val="20"/>
          <w:szCs w:val="20"/>
          <w:lang w:eastAsia="es-MX"/>
        </w:rPr>
      </w:pPr>
      <w:r w:rsidRPr="00BA7AB7">
        <w:rPr>
          <w:rFonts w:ascii="Times New Roman" w:hAnsi="Times New Roman"/>
          <w:b/>
          <w:i/>
          <w:sz w:val="20"/>
          <w:szCs w:val="20"/>
        </w:rPr>
        <w:t xml:space="preserve"> El instituto cuenta con un</w:t>
      </w:r>
      <w:r>
        <w:rPr>
          <w:rFonts w:ascii="Times New Roman" w:hAnsi="Times New Roman"/>
          <w:b/>
          <w:i/>
          <w:sz w:val="20"/>
          <w:szCs w:val="20"/>
        </w:rPr>
        <w:t xml:space="preserve"> subsidio proporcionado por el Municipio de L</w:t>
      </w:r>
      <w:r w:rsidRPr="00BA7AB7">
        <w:rPr>
          <w:rFonts w:ascii="Times New Roman" w:hAnsi="Times New Roman"/>
          <w:b/>
          <w:i/>
          <w:sz w:val="20"/>
          <w:szCs w:val="20"/>
        </w:rPr>
        <w:t xml:space="preserve">eón por la cantidad anual de $ </w:t>
      </w:r>
      <w:r>
        <w:rPr>
          <w:rFonts w:ascii="Times New Roman" w:hAnsi="Times New Roman"/>
          <w:b/>
          <w:i/>
          <w:sz w:val="20"/>
          <w:szCs w:val="20"/>
        </w:rPr>
        <w:t>13</w:t>
      </w:r>
      <w:r w:rsidRPr="00BA7AB7">
        <w:rPr>
          <w:rFonts w:ascii="Times New Roman" w:hAnsi="Times New Roman"/>
          <w:b/>
          <w:i/>
          <w:sz w:val="20"/>
          <w:szCs w:val="20"/>
        </w:rPr>
        <w:t>´</w:t>
      </w:r>
      <w:r>
        <w:rPr>
          <w:rFonts w:ascii="Times New Roman" w:hAnsi="Times New Roman"/>
          <w:b/>
          <w:i/>
          <w:sz w:val="20"/>
          <w:szCs w:val="20"/>
        </w:rPr>
        <w:t>609</w:t>
      </w:r>
      <w:r w:rsidRPr="00BA7AB7">
        <w:rPr>
          <w:rFonts w:ascii="Times New Roman" w:hAnsi="Times New Roman"/>
          <w:b/>
          <w:i/>
          <w:sz w:val="20"/>
          <w:szCs w:val="20"/>
        </w:rPr>
        <w:t>,</w:t>
      </w:r>
      <w:r>
        <w:rPr>
          <w:rFonts w:ascii="Times New Roman" w:hAnsi="Times New Roman"/>
          <w:b/>
          <w:i/>
          <w:sz w:val="20"/>
          <w:szCs w:val="20"/>
        </w:rPr>
        <w:t>443</w:t>
      </w:r>
      <w:r w:rsidRPr="00BA7AB7">
        <w:rPr>
          <w:rFonts w:ascii="Times New Roman" w:hAnsi="Times New Roman"/>
          <w:b/>
          <w:i/>
          <w:sz w:val="20"/>
          <w:szCs w:val="20"/>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77777777" w:rsidR="007D1E76" w:rsidRDefault="007D1E76" w:rsidP="00CB41C4">
      <w:pPr>
        <w:tabs>
          <w:tab w:val="left" w:leader="underscore" w:pos="9639"/>
        </w:tabs>
        <w:spacing w:after="0" w:line="240" w:lineRule="auto"/>
        <w:jc w:val="both"/>
        <w:rPr>
          <w:rFonts w:cs="Calibri"/>
        </w:rPr>
      </w:pPr>
    </w:p>
    <w:p w14:paraId="149FB719" w14:textId="04B78211" w:rsidR="00BA7AB7" w:rsidRPr="00BA7AB7" w:rsidRDefault="00BA7AB7" w:rsidP="00BA7AB7">
      <w:pPr>
        <w:jc w:val="both"/>
        <w:rPr>
          <w:rFonts w:ascii="Times New Roman" w:hAnsi="Times New Roman"/>
          <w:b/>
          <w:i/>
          <w:sz w:val="20"/>
          <w:szCs w:val="20"/>
        </w:rPr>
      </w:pPr>
      <w:r w:rsidRPr="00BA7AB7">
        <w:rPr>
          <w:rFonts w:ascii="Times New Roman" w:hAnsi="Times New Roman"/>
          <w:b/>
          <w:i/>
          <w:sz w:val="20"/>
          <w:szCs w:val="20"/>
        </w:rPr>
        <w:t>08 de septiembre del 2000.</w:t>
      </w:r>
    </w:p>
    <w:p w14:paraId="44CC9424" w14:textId="77777777" w:rsidR="00BA7AB7" w:rsidRDefault="00BA7AB7" w:rsidP="00CB41C4">
      <w:pPr>
        <w:tabs>
          <w:tab w:val="left" w:leader="underscore" w:pos="9639"/>
        </w:tabs>
        <w:spacing w:after="0" w:line="240" w:lineRule="auto"/>
        <w:jc w:val="both"/>
        <w:rPr>
          <w:rFonts w:cs="Calibri"/>
        </w:rPr>
      </w:pPr>
    </w:p>
    <w:p w14:paraId="775BF367" w14:textId="77777777" w:rsidR="00BA7AB7" w:rsidRPr="00E74967" w:rsidRDefault="00BA7AB7"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7777777" w:rsidR="007D1E76" w:rsidRDefault="007D1E76" w:rsidP="00CB41C4">
      <w:pPr>
        <w:tabs>
          <w:tab w:val="left" w:leader="underscore" w:pos="9639"/>
        </w:tabs>
        <w:spacing w:after="0" w:line="240" w:lineRule="auto"/>
        <w:jc w:val="both"/>
        <w:rPr>
          <w:rFonts w:cs="Calibri"/>
        </w:rPr>
      </w:pPr>
    </w:p>
    <w:p w14:paraId="389C5F82" w14:textId="3599D9BC" w:rsidR="00BA7AB7" w:rsidRPr="003C7B06" w:rsidRDefault="00BA7AB7" w:rsidP="00BA7AB7">
      <w:pPr>
        <w:spacing w:after="0" w:line="240" w:lineRule="auto"/>
        <w:jc w:val="both"/>
        <w:rPr>
          <w:rFonts w:ascii="Times New Roman" w:hAnsi="Times New Roman"/>
          <w:i/>
          <w:sz w:val="20"/>
          <w:szCs w:val="20"/>
        </w:rPr>
      </w:pPr>
      <w:r w:rsidRPr="003C7B06">
        <w:rPr>
          <w:rFonts w:ascii="Times New Roman" w:hAnsi="Times New Roman"/>
          <w:i/>
          <w:sz w:val="20"/>
          <w:szCs w:val="20"/>
        </w:rPr>
        <w:t xml:space="preserve">  Mayor capacidad de atención a usuarias y usuarios, por medio de la creación de nuevos programas a favor de las mujeres como el proyecto: redes de mujeres para la prevención de la violencia, la atención directa a mujeres y hombres jóvenes en relación a la prevención de embarazos en adolescentes y la prevención de la violencia en el noviazgo; </w:t>
      </w:r>
    </w:p>
    <w:p w14:paraId="0F057323" w14:textId="77777777" w:rsidR="00BA7AB7" w:rsidRPr="00E74967" w:rsidRDefault="00BA7AB7"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978DEF3" w14:textId="2058EBE3" w:rsidR="00CB4D25" w:rsidRPr="003C7B06" w:rsidRDefault="00CB4D25" w:rsidP="00CB4D25">
      <w:pPr>
        <w:tabs>
          <w:tab w:val="left" w:leader="underscore" w:pos="9639"/>
        </w:tabs>
        <w:spacing w:after="0" w:line="240" w:lineRule="auto"/>
        <w:jc w:val="both"/>
        <w:rPr>
          <w:rFonts w:ascii="Times New Roman" w:hAnsi="Times New Roman"/>
          <w:i/>
          <w:sz w:val="20"/>
          <w:szCs w:val="20"/>
          <w:lang w:val="es-ES"/>
        </w:rPr>
      </w:pPr>
      <w:r w:rsidRPr="003C7B06">
        <w:rPr>
          <w:rFonts w:ascii="Times New Roman" w:hAnsi="Times New Roman"/>
          <w:i/>
          <w:sz w:val="20"/>
          <w:szCs w:val="20"/>
        </w:rPr>
        <w:t xml:space="preserve">  El instituto municipal de las mujeres es una entidad paramunicipal que impulsa  políticas públicas con enfoque de género para el desarrollo de las mujeres  en igualdad de oportunidades  y el ejercicio pleno de sus derechos y nuestra misión es s</w:t>
      </w:r>
      <w:proofErr w:type="spellStart"/>
      <w:r w:rsidRPr="003C7B06">
        <w:rPr>
          <w:rFonts w:ascii="Times New Roman" w:hAnsi="Times New Roman"/>
          <w:i/>
          <w:sz w:val="20"/>
          <w:szCs w:val="20"/>
          <w:lang w:val="es-ES"/>
        </w:rPr>
        <w:t>er</w:t>
      </w:r>
      <w:proofErr w:type="spellEnd"/>
      <w:r w:rsidRPr="003C7B06">
        <w:rPr>
          <w:rFonts w:ascii="Times New Roman" w:hAnsi="Times New Roman"/>
          <w:i/>
          <w:sz w:val="20"/>
          <w:szCs w:val="20"/>
          <w:lang w:val="es-ES"/>
        </w:rPr>
        <w:t xml:space="preserve">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F0F7A45" w14:textId="285C91F4" w:rsidR="00CB4D25" w:rsidRPr="003C7B06" w:rsidRDefault="00CB4D25" w:rsidP="00CB4D25">
      <w:pPr>
        <w:jc w:val="both"/>
        <w:rPr>
          <w:rFonts w:ascii="Times New Roman" w:hAnsi="Times New Roman"/>
          <w:i/>
          <w:sz w:val="20"/>
          <w:szCs w:val="20"/>
        </w:rPr>
      </w:pPr>
      <w:r w:rsidRPr="003C7B06">
        <w:rPr>
          <w:rFonts w:ascii="Times New Roman" w:hAnsi="Times New Roman"/>
          <w:i/>
          <w:sz w:val="20"/>
          <w:szCs w:val="20"/>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3DB32D33" w:rsidR="007D1E76" w:rsidRPr="00CB4D25" w:rsidRDefault="00CB4D25" w:rsidP="00CB41C4">
      <w:pPr>
        <w:tabs>
          <w:tab w:val="left" w:leader="underscore" w:pos="9639"/>
        </w:tabs>
        <w:spacing w:after="0" w:line="240" w:lineRule="auto"/>
        <w:jc w:val="both"/>
        <w:rPr>
          <w:rFonts w:cs="Calibri"/>
          <w:i/>
        </w:rPr>
      </w:pPr>
      <w:r w:rsidRPr="00CB4D25">
        <w:rPr>
          <w:rFonts w:cs="Calibri"/>
          <w:i/>
        </w:rPr>
        <w:lastRenderedPageBreak/>
        <w:t>Enero a Diciembre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9F69D7F" w14:textId="4B4F173D" w:rsidR="00CB4D25" w:rsidRPr="00CB4D25" w:rsidRDefault="00CB4D25" w:rsidP="00CB4D25">
      <w:pPr>
        <w:jc w:val="both"/>
        <w:rPr>
          <w:rFonts w:ascii="Times New Roman" w:hAnsi="Times New Roman"/>
          <w:i/>
          <w:sz w:val="20"/>
          <w:szCs w:val="20"/>
        </w:rPr>
      </w:pPr>
      <w:r w:rsidRPr="00CB4D25">
        <w:rPr>
          <w:rFonts w:ascii="Times New Roman" w:hAnsi="Times New Roman"/>
          <w:i/>
          <w:sz w:val="20"/>
          <w:szCs w:val="20"/>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74918B9" w14:textId="77777777" w:rsidR="00CB4D25" w:rsidRPr="003C7B06" w:rsidRDefault="00CB4D25" w:rsidP="00CB4D25">
      <w:pPr>
        <w:spacing w:after="0" w:line="240" w:lineRule="auto"/>
        <w:jc w:val="both"/>
        <w:rPr>
          <w:rFonts w:cs="Calibri"/>
          <w:i/>
          <w:sz w:val="20"/>
          <w:szCs w:val="20"/>
        </w:rPr>
      </w:pPr>
      <w:r w:rsidRPr="003C7B06">
        <w:rPr>
          <w:rFonts w:cs="Calibri"/>
          <w:i/>
          <w:sz w:val="20"/>
          <w:szCs w:val="20"/>
        </w:rPr>
        <w:t>EL INSTITUTO MUNICIPAL DE LAS MUJERES CUENTA CON LAS SIGUIENTES OBLIGACIONES FISCALES:</w:t>
      </w:r>
    </w:p>
    <w:p w14:paraId="5A464B7F" w14:textId="77777777" w:rsidR="00CB4D25" w:rsidRPr="003C7B06" w:rsidRDefault="00CB4D25" w:rsidP="00CB4D25">
      <w:pPr>
        <w:spacing w:after="0" w:line="240" w:lineRule="auto"/>
        <w:jc w:val="both"/>
        <w:rPr>
          <w:rFonts w:cs="Calibri"/>
          <w:i/>
          <w:sz w:val="20"/>
          <w:szCs w:val="20"/>
        </w:rPr>
      </w:pPr>
    </w:p>
    <w:p w14:paraId="55CB1C41" w14:textId="77777777" w:rsidR="00CB4D25" w:rsidRPr="003C7B06" w:rsidRDefault="00CB4D25" w:rsidP="00CB4D25">
      <w:pPr>
        <w:spacing w:after="0" w:line="240" w:lineRule="auto"/>
        <w:jc w:val="both"/>
        <w:rPr>
          <w:rFonts w:cs="Calibri"/>
          <w:i/>
          <w:sz w:val="20"/>
          <w:szCs w:val="20"/>
        </w:rPr>
      </w:pPr>
      <w:r w:rsidRPr="003C7B06">
        <w:rPr>
          <w:rFonts w:cs="Calibri"/>
          <w:i/>
          <w:sz w:val="20"/>
          <w:szCs w:val="20"/>
        </w:rPr>
        <w:t>ISR RETENCIONES POR SALARIOS</w:t>
      </w:r>
    </w:p>
    <w:p w14:paraId="6C07D0A3" w14:textId="77777777" w:rsidR="00CB4D25" w:rsidRPr="003C7B06" w:rsidRDefault="00CB4D25" w:rsidP="00CB4D25">
      <w:pPr>
        <w:spacing w:after="0" w:line="240" w:lineRule="auto"/>
        <w:jc w:val="both"/>
        <w:rPr>
          <w:rFonts w:cs="Calibri"/>
          <w:i/>
          <w:sz w:val="20"/>
          <w:szCs w:val="20"/>
        </w:rPr>
      </w:pPr>
      <w:r w:rsidRPr="003C7B06">
        <w:rPr>
          <w:rFonts w:cs="Calibri"/>
          <w:i/>
          <w:sz w:val="20"/>
          <w:szCs w:val="20"/>
        </w:rPr>
        <w:t>ISR RETENCIONES POR ASIMILABLES A SALARIOS</w:t>
      </w:r>
    </w:p>
    <w:p w14:paraId="02DBF40E" w14:textId="77777777" w:rsidR="00CB4D25" w:rsidRPr="003C7B06" w:rsidRDefault="00CB4D25" w:rsidP="00CB4D25">
      <w:pPr>
        <w:spacing w:after="0" w:line="240" w:lineRule="auto"/>
        <w:jc w:val="both"/>
        <w:rPr>
          <w:rFonts w:cs="Calibri"/>
          <w:i/>
          <w:sz w:val="20"/>
          <w:szCs w:val="20"/>
        </w:rPr>
      </w:pPr>
      <w:r w:rsidRPr="003C7B06">
        <w:rPr>
          <w:rFonts w:cs="Calibri"/>
          <w:i/>
          <w:sz w:val="20"/>
          <w:szCs w:val="20"/>
        </w:rPr>
        <w:t>ISR RETENCIONES POR SERVICIOS PROFESIONALES</w:t>
      </w:r>
    </w:p>
    <w:p w14:paraId="4B2E73DC" w14:textId="77777777" w:rsidR="00CB4D25" w:rsidRPr="003C7B06" w:rsidRDefault="00CB4D25" w:rsidP="00CB4D25">
      <w:pPr>
        <w:spacing w:after="0" w:line="240" w:lineRule="auto"/>
        <w:jc w:val="both"/>
        <w:rPr>
          <w:rFonts w:cs="Calibri"/>
          <w:i/>
          <w:sz w:val="20"/>
          <w:szCs w:val="20"/>
        </w:rPr>
      </w:pPr>
      <w:r w:rsidRPr="003C7B06">
        <w:rPr>
          <w:rFonts w:cs="Calibri"/>
          <w:i/>
          <w:sz w:val="20"/>
          <w:szCs w:val="20"/>
        </w:rPr>
        <w:t>RETENCIONES DE IMPUESTO CEDULAR POR SERVICIOS PROFESIONALES</w:t>
      </w:r>
    </w:p>
    <w:p w14:paraId="6268EF76" w14:textId="31462FA2" w:rsidR="007D1E76" w:rsidRDefault="00CB4D25" w:rsidP="00CB4D25">
      <w:pPr>
        <w:tabs>
          <w:tab w:val="left" w:leader="underscore" w:pos="9639"/>
        </w:tabs>
        <w:spacing w:after="0" w:line="240" w:lineRule="auto"/>
        <w:jc w:val="both"/>
        <w:rPr>
          <w:rFonts w:cs="Calibri"/>
          <w:i/>
          <w:sz w:val="20"/>
          <w:szCs w:val="20"/>
        </w:rPr>
      </w:pPr>
      <w:r w:rsidRPr="003C7B06">
        <w:rPr>
          <w:rFonts w:cs="Calibri"/>
          <w:i/>
          <w:sz w:val="20"/>
          <w:szCs w:val="20"/>
        </w:rPr>
        <w:t>3 % DE IMPUESTO SOBRE NOMINA</w:t>
      </w:r>
    </w:p>
    <w:p w14:paraId="65EF8820" w14:textId="77777777" w:rsidR="00CB4D25" w:rsidRPr="00E74967" w:rsidRDefault="00CB4D25" w:rsidP="00CB4D25">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3A3B59F3" w:rsidR="007D1E76" w:rsidRDefault="00EA23C5" w:rsidP="00CB41C4">
      <w:pPr>
        <w:tabs>
          <w:tab w:val="left" w:leader="underscore" w:pos="9639"/>
        </w:tabs>
        <w:spacing w:after="0" w:line="240" w:lineRule="auto"/>
        <w:jc w:val="both"/>
        <w:rPr>
          <w:rFonts w:cs="Calibri"/>
        </w:rPr>
      </w:pPr>
      <w:r>
        <w:rPr>
          <w:noProof/>
          <w:lang w:eastAsia="es-MX"/>
        </w:rPr>
        <w:drawing>
          <wp:inline distT="0" distB="0" distL="0" distR="0" wp14:anchorId="11F68065" wp14:editId="79ACC26B">
            <wp:extent cx="6151880" cy="3458845"/>
            <wp:effectExtent l="0" t="0" r="127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458845"/>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07361652" w:rsidR="007D1E76" w:rsidRPr="00EA23C5" w:rsidRDefault="00EA23C5" w:rsidP="00CB41C4">
      <w:pPr>
        <w:tabs>
          <w:tab w:val="left" w:leader="underscore" w:pos="9639"/>
        </w:tabs>
        <w:spacing w:after="0" w:line="240" w:lineRule="auto"/>
        <w:jc w:val="both"/>
        <w:rPr>
          <w:rFonts w:cs="Calibri"/>
          <w:b/>
          <w:i/>
        </w:rPr>
      </w:pPr>
      <w:r w:rsidRPr="00EA23C5">
        <w:rPr>
          <w:rFonts w:cs="Calibri"/>
          <w:b/>
          <w:i/>
        </w:rPr>
        <w:t>Ninguno.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7C9D35C" w:rsidR="007D1E76" w:rsidRPr="00EA23C5" w:rsidRDefault="00EA23C5" w:rsidP="00CB41C4">
      <w:pPr>
        <w:tabs>
          <w:tab w:val="left" w:leader="underscore" w:pos="9639"/>
        </w:tabs>
        <w:spacing w:after="0" w:line="240" w:lineRule="auto"/>
        <w:jc w:val="both"/>
        <w:rPr>
          <w:rFonts w:cs="Calibri"/>
          <w:b/>
        </w:rPr>
      </w:pPr>
      <w:r w:rsidRPr="00EA23C5">
        <w:rPr>
          <w:rFonts w:cs="Calibri"/>
          <w:b/>
          <w:i/>
          <w:sz w:val="20"/>
          <w:szCs w:val="20"/>
        </w:rPr>
        <w:lastRenderedPageBreak/>
        <w:t>Si, aunado a ellos el instituto se encuentra en proceso de adquirir nuevo software contable para continuar y mejorar el registro de sus operaciones.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AC43291" w14:textId="77777777" w:rsidR="00EA23C5" w:rsidRDefault="00EA23C5" w:rsidP="00EA23C5">
      <w:pPr>
        <w:tabs>
          <w:tab w:val="left" w:leader="underscore" w:pos="9639"/>
        </w:tabs>
        <w:spacing w:after="0" w:line="240" w:lineRule="auto"/>
        <w:jc w:val="both"/>
        <w:rPr>
          <w:rFonts w:cs="Calibri"/>
          <w:i/>
          <w:sz w:val="20"/>
          <w:szCs w:val="20"/>
        </w:rPr>
      </w:pPr>
    </w:p>
    <w:p w14:paraId="13367911" w14:textId="77777777" w:rsidR="00EA23C5" w:rsidRPr="003C7B06" w:rsidRDefault="00EA23C5" w:rsidP="00EA23C5">
      <w:pPr>
        <w:tabs>
          <w:tab w:val="left" w:leader="underscore" w:pos="9639"/>
        </w:tabs>
        <w:spacing w:after="0" w:line="240" w:lineRule="auto"/>
        <w:jc w:val="both"/>
        <w:rPr>
          <w:rFonts w:cs="Calibri"/>
          <w:i/>
          <w:sz w:val="20"/>
          <w:szCs w:val="20"/>
        </w:rPr>
      </w:pPr>
      <w:r w:rsidRPr="003C7B06">
        <w:rPr>
          <w:rFonts w:cs="Calibri"/>
          <w:i/>
          <w:sz w:val="20"/>
          <w:szCs w:val="20"/>
        </w:rPr>
        <w:t>Ley General de Contabilidad Gubernamental</w:t>
      </w:r>
    </w:p>
    <w:p w14:paraId="2BCF4CDB" w14:textId="77777777" w:rsidR="00EA23C5" w:rsidRPr="003C7B06" w:rsidRDefault="00EA23C5" w:rsidP="00EA23C5">
      <w:pPr>
        <w:tabs>
          <w:tab w:val="left" w:leader="underscore" w:pos="9639"/>
        </w:tabs>
        <w:spacing w:after="0" w:line="240" w:lineRule="auto"/>
        <w:jc w:val="both"/>
        <w:rPr>
          <w:rFonts w:cs="Calibri"/>
          <w:i/>
          <w:sz w:val="20"/>
          <w:szCs w:val="20"/>
        </w:rPr>
      </w:pPr>
      <w:r w:rsidRPr="003C7B06">
        <w:rPr>
          <w:rFonts w:cs="Calibri"/>
          <w:i/>
          <w:sz w:val="20"/>
          <w:szCs w:val="20"/>
        </w:rPr>
        <w:t>Postulados básicos de Contabilidad Gubernamental</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1FB6B12" w14:textId="77777777" w:rsidR="00EA23C5" w:rsidRPr="003C7B06" w:rsidRDefault="00EA23C5" w:rsidP="00EA23C5">
      <w:pPr>
        <w:tabs>
          <w:tab w:val="left" w:leader="underscore" w:pos="9639"/>
        </w:tabs>
        <w:spacing w:after="0" w:line="240" w:lineRule="auto"/>
        <w:jc w:val="both"/>
        <w:rPr>
          <w:rFonts w:cs="Calibri"/>
          <w:sz w:val="20"/>
          <w:szCs w:val="20"/>
        </w:rPr>
      </w:pPr>
    </w:p>
    <w:p w14:paraId="254754C0"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SUSTANCIA ECONOMICA</w:t>
      </w:r>
    </w:p>
    <w:p w14:paraId="3C8B20F8"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ENTES PUBLICOS</w:t>
      </w:r>
    </w:p>
    <w:p w14:paraId="407CA50F"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EXISTENCIA PERMANENTE</w:t>
      </w:r>
    </w:p>
    <w:p w14:paraId="08D4F78F"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REVELACION SUFICIENTE</w:t>
      </w:r>
    </w:p>
    <w:p w14:paraId="6D29EAE2"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IMPORTANCIA RELATIVA</w:t>
      </w:r>
    </w:p>
    <w:p w14:paraId="7C24DA4E"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REGISTRO E INTEGRACION PRESUPUESTARIA</w:t>
      </w:r>
    </w:p>
    <w:p w14:paraId="2CD7EC6E"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CONSOLIDACION DE LA INFORMACION FINANCIERA</w:t>
      </w:r>
    </w:p>
    <w:p w14:paraId="729608CE"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DEVENGO CONTABLE</w:t>
      </w:r>
    </w:p>
    <w:p w14:paraId="00DCC6AB"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VALUACIÓN</w:t>
      </w:r>
    </w:p>
    <w:p w14:paraId="30BE3D1A"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DUALIDAD ECONOMICA</w:t>
      </w:r>
    </w:p>
    <w:p w14:paraId="0D3AE405"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6157B92" w14:textId="77777777" w:rsidR="00EA23C5" w:rsidRPr="003C7B06" w:rsidRDefault="00EA23C5" w:rsidP="00EA23C5">
      <w:pPr>
        <w:tabs>
          <w:tab w:val="left" w:leader="underscore" w:pos="9639"/>
        </w:tabs>
        <w:spacing w:after="0" w:line="240" w:lineRule="auto"/>
        <w:jc w:val="both"/>
        <w:rPr>
          <w:rFonts w:cs="Calibri"/>
          <w:sz w:val="20"/>
          <w:szCs w:val="20"/>
        </w:rPr>
      </w:pPr>
      <w:r>
        <w:rPr>
          <w:rFonts w:cs="Calibri"/>
          <w:sz w:val="20"/>
          <w:szCs w:val="20"/>
        </w:rPr>
        <w:t>N/A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6F3746C" w14:textId="77777777" w:rsidR="00EA23C5" w:rsidRPr="003C7B06" w:rsidRDefault="00EA23C5" w:rsidP="00EA23C5">
      <w:pPr>
        <w:tabs>
          <w:tab w:val="left" w:leader="underscore" w:pos="9639"/>
        </w:tabs>
        <w:spacing w:after="0" w:line="240" w:lineRule="auto"/>
        <w:jc w:val="both"/>
        <w:rPr>
          <w:rFonts w:cs="Calibri"/>
          <w:i/>
          <w:sz w:val="20"/>
          <w:szCs w:val="20"/>
        </w:rPr>
      </w:pPr>
      <w:proofErr w:type="gramStart"/>
      <w:r w:rsidRPr="003C7B06">
        <w:rPr>
          <w:rFonts w:cs="Calibri"/>
          <w:i/>
          <w:sz w:val="20"/>
          <w:szCs w:val="20"/>
        </w:rPr>
        <w:t>n/a</w:t>
      </w:r>
      <w:proofErr w:type="gramEnd"/>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61191A7" w14:textId="77777777" w:rsidR="00EA23C5" w:rsidRPr="003C7B06" w:rsidRDefault="00EA23C5" w:rsidP="00EA23C5">
      <w:pPr>
        <w:tabs>
          <w:tab w:val="left" w:leader="underscore" w:pos="9639"/>
        </w:tabs>
        <w:spacing w:after="0" w:line="240" w:lineRule="auto"/>
        <w:jc w:val="both"/>
        <w:rPr>
          <w:rFonts w:cs="Calibri"/>
          <w:i/>
          <w:sz w:val="20"/>
          <w:szCs w:val="20"/>
        </w:rPr>
      </w:pPr>
      <w:proofErr w:type="gramStart"/>
      <w:r w:rsidRPr="003C7B06">
        <w:rPr>
          <w:rFonts w:cs="Calibri"/>
          <w:i/>
          <w:sz w:val="20"/>
          <w:szCs w:val="20"/>
        </w:rPr>
        <w:t>n/a</w:t>
      </w:r>
      <w:proofErr w:type="gramEnd"/>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4FCE33D" w14:textId="77777777" w:rsidR="00EA23C5" w:rsidRPr="003C7B06" w:rsidRDefault="00EA23C5" w:rsidP="00EA23C5">
      <w:pPr>
        <w:tabs>
          <w:tab w:val="left" w:leader="underscore" w:pos="9639"/>
        </w:tabs>
        <w:spacing w:after="0" w:line="240" w:lineRule="auto"/>
        <w:jc w:val="both"/>
        <w:rPr>
          <w:rFonts w:cs="Calibri"/>
          <w:i/>
          <w:sz w:val="20"/>
          <w:szCs w:val="20"/>
        </w:rPr>
      </w:pPr>
      <w:proofErr w:type="gramStart"/>
      <w:r w:rsidRPr="003C7B06">
        <w:rPr>
          <w:rFonts w:cs="Calibri"/>
          <w:i/>
          <w:sz w:val="20"/>
          <w:szCs w:val="20"/>
        </w:rPr>
        <w:t>n/a</w:t>
      </w:r>
      <w:proofErr w:type="gramEnd"/>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6098F621"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w:t>
      </w:r>
      <w:proofErr w:type="spellStart"/>
      <w:r w:rsidRPr="00E74967">
        <w:rPr>
          <w:rFonts w:cs="Calibri"/>
        </w:rPr>
        <w:t>yHacienda</w:t>
      </w:r>
      <w:proofErr w:type="spellEnd"/>
      <w:r w:rsidRPr="00E74967">
        <w:rPr>
          <w:rFonts w:cs="Calibri"/>
        </w:rPr>
        <w:t xml:space="preserve"> Pública/</w:t>
      </w:r>
      <w:r w:rsidR="00657009" w:rsidRPr="00E74967">
        <w:rPr>
          <w:rFonts w:cs="Calibri"/>
        </w:rPr>
        <w:t>P</w:t>
      </w:r>
      <w:r w:rsidRPr="00E74967">
        <w:rPr>
          <w:rFonts w:cs="Calibri"/>
        </w:rPr>
        <w:t>atrimonio y las razones de dicha elección. Así como informar de la desconexión o reconexión inflacionaria:</w:t>
      </w:r>
    </w:p>
    <w:p w14:paraId="1208857C" w14:textId="77777777" w:rsidR="00EA23C5" w:rsidRPr="003C7B06" w:rsidRDefault="00EA23C5" w:rsidP="00EA23C5">
      <w:pPr>
        <w:tabs>
          <w:tab w:val="left" w:leader="underscore" w:pos="9639"/>
        </w:tabs>
        <w:spacing w:after="0" w:line="240" w:lineRule="auto"/>
        <w:jc w:val="both"/>
        <w:rPr>
          <w:rFonts w:cs="Calibri"/>
          <w:sz w:val="20"/>
          <w:szCs w:val="20"/>
        </w:rPr>
      </w:pPr>
      <w:proofErr w:type="gramStart"/>
      <w:r w:rsidRPr="003C7B06">
        <w:rPr>
          <w:rFonts w:cs="Calibri"/>
          <w:sz w:val="20"/>
          <w:szCs w:val="20"/>
        </w:rPr>
        <w:t>n/a</w:t>
      </w:r>
      <w:proofErr w:type="gramEnd"/>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962A37B" w14:textId="69446B52" w:rsidR="00EA23C5" w:rsidRPr="003C7B06" w:rsidRDefault="00EA23C5" w:rsidP="00EA23C5">
      <w:pPr>
        <w:jc w:val="both"/>
        <w:rPr>
          <w:rFonts w:ascii="Times New Roman" w:hAnsi="Times New Roman"/>
          <w:i/>
          <w:sz w:val="20"/>
          <w:szCs w:val="20"/>
        </w:rPr>
      </w:pPr>
      <w:r w:rsidRPr="003C7B06">
        <w:rPr>
          <w:rFonts w:ascii="Times New Roman" w:hAnsi="Times New Roman"/>
          <w:i/>
          <w:sz w:val="20"/>
          <w:szCs w:val="20"/>
        </w:rPr>
        <w:t>No se realizan operaciones con el extranjero.</w:t>
      </w:r>
    </w:p>
    <w:p w14:paraId="761C47D7" w14:textId="483D7948"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01C8260" w14:textId="7D3EBEB9" w:rsidR="00EA23C5" w:rsidRPr="003C7B06" w:rsidRDefault="00EA23C5" w:rsidP="00EA23C5">
      <w:pPr>
        <w:spacing w:after="0" w:line="240" w:lineRule="auto"/>
        <w:jc w:val="both"/>
        <w:rPr>
          <w:rFonts w:ascii="Times New Roman" w:hAnsi="Times New Roman"/>
          <w:i/>
          <w:sz w:val="20"/>
          <w:szCs w:val="20"/>
        </w:rPr>
      </w:pPr>
      <w:r>
        <w:rPr>
          <w:rFonts w:ascii="Times New Roman" w:hAnsi="Times New Roman"/>
          <w:i/>
          <w:sz w:val="20"/>
          <w:szCs w:val="20"/>
        </w:rPr>
        <w:t>N</w:t>
      </w:r>
      <w:r w:rsidRPr="003C7B06">
        <w:rPr>
          <w:rFonts w:ascii="Times New Roman" w:hAnsi="Times New Roman"/>
          <w:i/>
          <w:sz w:val="20"/>
          <w:szCs w:val="20"/>
        </w:rPr>
        <w:t xml:space="preserve">o se tienen acciones de </w:t>
      </w:r>
      <w:proofErr w:type="spellStart"/>
      <w:r w:rsidRPr="003C7B06">
        <w:rPr>
          <w:rFonts w:ascii="Times New Roman" w:hAnsi="Times New Roman"/>
          <w:i/>
          <w:sz w:val="20"/>
          <w:szCs w:val="20"/>
        </w:rPr>
        <w:t>compañias</w:t>
      </w:r>
      <w:proofErr w:type="spellEnd"/>
      <w:r w:rsidRPr="003C7B06">
        <w:rPr>
          <w:rFonts w:ascii="Times New Roman" w:hAnsi="Times New Roman"/>
          <w:i/>
          <w:sz w:val="20"/>
          <w:szCs w:val="20"/>
        </w:rPr>
        <w:t xml:space="preserve"> subsidiaria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D60027A" w14:textId="45A60096" w:rsidR="00EA23C5" w:rsidRPr="003C7B06" w:rsidRDefault="00EA23C5" w:rsidP="00EA23C5">
      <w:pPr>
        <w:jc w:val="both"/>
        <w:rPr>
          <w:rFonts w:ascii="Times New Roman" w:hAnsi="Times New Roman"/>
          <w:i/>
          <w:sz w:val="20"/>
          <w:szCs w:val="20"/>
        </w:rPr>
      </w:pPr>
      <w:r>
        <w:rPr>
          <w:rFonts w:ascii="Times New Roman" w:hAnsi="Times New Roman"/>
          <w:i/>
          <w:sz w:val="20"/>
          <w:szCs w:val="20"/>
        </w:rPr>
        <w:t>N</w:t>
      </w:r>
      <w:r w:rsidRPr="003C7B06">
        <w:rPr>
          <w:rFonts w:ascii="Times New Roman" w:hAnsi="Times New Roman"/>
          <w:i/>
          <w:sz w:val="20"/>
          <w:szCs w:val="20"/>
        </w:rPr>
        <w:t xml:space="preserve">o se tiene inventario de </w:t>
      </w:r>
      <w:proofErr w:type="spellStart"/>
      <w:r w:rsidRPr="003C7B06">
        <w:rPr>
          <w:rFonts w:ascii="Times New Roman" w:hAnsi="Times New Roman"/>
          <w:i/>
          <w:sz w:val="20"/>
          <w:szCs w:val="20"/>
        </w:rPr>
        <w:t>mercancia</w:t>
      </w:r>
      <w:proofErr w:type="spellEnd"/>
      <w:r w:rsidRPr="003C7B06">
        <w:rPr>
          <w:rFonts w:ascii="Times New Roman" w:hAnsi="Times New Roman"/>
          <w:i/>
          <w:sz w:val="20"/>
          <w:szCs w:val="20"/>
        </w:rPr>
        <w:t xml:space="preserve"> y no hay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6DA4F07" w14:textId="77777777" w:rsidR="00EA23C5" w:rsidRDefault="00EA23C5" w:rsidP="00CB41C4">
      <w:pPr>
        <w:tabs>
          <w:tab w:val="left" w:leader="underscore" w:pos="9639"/>
        </w:tabs>
        <w:spacing w:after="0" w:line="240" w:lineRule="auto"/>
        <w:jc w:val="both"/>
        <w:rPr>
          <w:rFonts w:ascii="Times New Roman" w:hAnsi="Times New Roman"/>
          <w:i/>
          <w:sz w:val="20"/>
          <w:szCs w:val="20"/>
        </w:rPr>
      </w:pPr>
    </w:p>
    <w:p w14:paraId="6636D845" w14:textId="6DCE8E08" w:rsidR="007D1E76" w:rsidRPr="00E74967" w:rsidRDefault="00EA23C5" w:rsidP="00CB41C4">
      <w:pPr>
        <w:tabs>
          <w:tab w:val="left" w:leader="underscore" w:pos="9639"/>
        </w:tabs>
        <w:spacing w:after="0" w:line="240" w:lineRule="auto"/>
        <w:jc w:val="both"/>
        <w:rPr>
          <w:rFonts w:cs="Calibri"/>
        </w:rPr>
      </w:pPr>
      <w:r>
        <w:rPr>
          <w:rFonts w:ascii="Times New Roman" w:hAnsi="Times New Roman"/>
          <w:i/>
          <w:sz w:val="20"/>
          <w:szCs w:val="20"/>
        </w:rPr>
        <w:t>A</w:t>
      </w:r>
      <w:r w:rsidRPr="003C7B06">
        <w:rPr>
          <w:rFonts w:ascii="Times New Roman" w:hAnsi="Times New Roman"/>
          <w:i/>
          <w:sz w:val="20"/>
          <w:szCs w:val="20"/>
        </w:rPr>
        <w:t xml:space="preserve"> la fecha no se cuenta con una reserva actuarial</w:t>
      </w:r>
    </w:p>
    <w:p w14:paraId="201698C9" w14:textId="77777777" w:rsidR="00EA23C5" w:rsidRDefault="00EA23C5"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4524CE32" w:rsidR="007D1E76" w:rsidRPr="00E74967" w:rsidRDefault="00EA23C5" w:rsidP="00CB41C4">
      <w:pPr>
        <w:tabs>
          <w:tab w:val="left" w:leader="underscore" w:pos="9639"/>
        </w:tabs>
        <w:spacing w:after="0" w:line="240" w:lineRule="auto"/>
        <w:jc w:val="both"/>
        <w:rPr>
          <w:rFonts w:cs="Calibri"/>
        </w:rPr>
      </w:pPr>
      <w:r w:rsidRPr="003C7B06">
        <w:rPr>
          <w:rFonts w:ascii="Times New Roman" w:hAnsi="Times New Roman"/>
          <w:i/>
          <w:sz w:val="20"/>
          <w:szCs w:val="20"/>
        </w:rPr>
        <w:t xml:space="preserve">Las provisiones son mensuales respecto al aguinaldo, prima vacacional fondo de ahorro, impuesto sobre </w:t>
      </w:r>
      <w:proofErr w:type="spellStart"/>
      <w:r w:rsidRPr="003C7B06">
        <w:rPr>
          <w:rFonts w:ascii="Times New Roman" w:hAnsi="Times New Roman"/>
          <w:i/>
          <w:sz w:val="20"/>
          <w:szCs w:val="20"/>
        </w:rPr>
        <w:t>nomina</w:t>
      </w:r>
      <w:proofErr w:type="spellEnd"/>
      <w:r w:rsidRPr="003C7B06">
        <w:rPr>
          <w:rFonts w:ascii="Times New Roman" w:hAnsi="Times New Roman"/>
          <w:i/>
          <w:sz w:val="20"/>
          <w:szCs w:val="20"/>
        </w:rPr>
        <w:t xml:space="preserve"> e </w:t>
      </w:r>
      <w:proofErr w:type="spellStart"/>
      <w:r w:rsidRPr="003C7B06">
        <w:rPr>
          <w:rFonts w:ascii="Times New Roman" w:hAnsi="Times New Roman"/>
          <w:i/>
          <w:sz w:val="20"/>
          <w:szCs w:val="20"/>
        </w:rPr>
        <w:t>imss</w:t>
      </w:r>
      <w:proofErr w:type="spellEnd"/>
      <w:r w:rsidRPr="003C7B06">
        <w:rPr>
          <w:rFonts w:ascii="Times New Roman" w:hAnsi="Times New Roman"/>
          <w:i/>
          <w:sz w:val="20"/>
          <w:szCs w:val="20"/>
        </w:rPr>
        <w:t xml:space="preserve"> por pagar mismas que se crearon con el objetivo de reflejar en los estados financieros pasivos reales.</w:t>
      </w:r>
    </w:p>
    <w:p w14:paraId="30073100" w14:textId="77777777" w:rsidR="00EA23C5" w:rsidRDefault="00EA23C5"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F72BC2F" w14:textId="77777777" w:rsidR="00EA23C5" w:rsidRDefault="00EA23C5" w:rsidP="00EA23C5">
      <w:pPr>
        <w:tabs>
          <w:tab w:val="left" w:leader="underscore" w:pos="9639"/>
        </w:tabs>
        <w:spacing w:after="0" w:line="240" w:lineRule="auto"/>
        <w:jc w:val="both"/>
        <w:rPr>
          <w:rFonts w:cs="Calibri"/>
          <w:i/>
          <w:sz w:val="20"/>
          <w:szCs w:val="20"/>
        </w:rPr>
      </w:pPr>
    </w:p>
    <w:p w14:paraId="1B74EB47" w14:textId="2159C013" w:rsidR="00EA23C5" w:rsidRPr="003C7B06" w:rsidRDefault="00EA23C5" w:rsidP="00EA23C5">
      <w:pPr>
        <w:tabs>
          <w:tab w:val="left" w:leader="underscore" w:pos="9639"/>
        </w:tabs>
        <w:spacing w:after="0" w:line="240" w:lineRule="auto"/>
        <w:jc w:val="both"/>
        <w:rPr>
          <w:rFonts w:cs="Calibri"/>
          <w:i/>
          <w:sz w:val="20"/>
          <w:szCs w:val="20"/>
        </w:rPr>
      </w:pPr>
      <w:r w:rsidRPr="003C7B06">
        <w:rPr>
          <w:rFonts w:cs="Calibri"/>
          <w:i/>
          <w:sz w:val="20"/>
          <w:szCs w:val="20"/>
        </w:rPr>
        <w:t>A la fecha no se tienen reservas.</w:t>
      </w:r>
    </w:p>
    <w:p w14:paraId="4C613419" w14:textId="5D0171BB"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6550BE7" w14:textId="79679EEF" w:rsidR="00EA23C5" w:rsidRPr="003C7B06" w:rsidRDefault="00EA23C5" w:rsidP="00EA23C5">
      <w:pPr>
        <w:jc w:val="both"/>
        <w:rPr>
          <w:rFonts w:ascii="Times New Roman" w:hAnsi="Times New Roman"/>
          <w:i/>
          <w:sz w:val="20"/>
          <w:szCs w:val="20"/>
        </w:rPr>
      </w:pPr>
      <w:r w:rsidRPr="003C7B06">
        <w:rPr>
          <w:rFonts w:ascii="Times New Roman" w:hAnsi="Times New Roman"/>
          <w:i/>
          <w:sz w:val="20"/>
          <w:szCs w:val="20"/>
        </w:rPr>
        <w:t>En caso de errores no se modifican periodos anteriores, sino los prospectivos.</w:t>
      </w:r>
    </w:p>
    <w:p w14:paraId="14696C24" w14:textId="7200088D" w:rsidR="007D1E76" w:rsidRPr="00E74967" w:rsidRDefault="007D1E76" w:rsidP="00CB41C4">
      <w:pPr>
        <w:tabs>
          <w:tab w:val="left" w:leader="underscore" w:pos="9639"/>
        </w:tabs>
        <w:spacing w:after="0" w:line="240" w:lineRule="auto"/>
        <w:jc w:val="both"/>
        <w:rPr>
          <w:rFonts w:cs="Calibri"/>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D29E9CC" w14:textId="281984E2" w:rsidR="00EA23C5" w:rsidRPr="003C7B06" w:rsidRDefault="00EA23C5" w:rsidP="00EA23C5">
      <w:pPr>
        <w:spacing w:after="0" w:line="240" w:lineRule="auto"/>
        <w:jc w:val="both"/>
        <w:rPr>
          <w:rFonts w:ascii="Times New Roman" w:hAnsi="Times New Roman"/>
          <w:i/>
          <w:sz w:val="20"/>
          <w:szCs w:val="20"/>
        </w:rPr>
      </w:pPr>
      <w:r w:rsidRPr="003C7B06">
        <w:rPr>
          <w:rFonts w:ascii="Times New Roman" w:hAnsi="Times New Roman"/>
          <w:i/>
          <w:sz w:val="20"/>
          <w:szCs w:val="20"/>
        </w:rPr>
        <w:t>Se realizan en el periodo en que se detectan.</w:t>
      </w:r>
    </w:p>
    <w:p w14:paraId="4342A110" w14:textId="16718C8E" w:rsidR="007D1E76" w:rsidRPr="00E74967" w:rsidRDefault="007D1E76" w:rsidP="00CB41C4">
      <w:pPr>
        <w:tabs>
          <w:tab w:val="left" w:leader="underscore" w:pos="9639"/>
        </w:tabs>
        <w:spacing w:after="0" w:line="240" w:lineRule="auto"/>
        <w:jc w:val="both"/>
        <w:rPr>
          <w:rFonts w:cs="Calibri"/>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3AC77DE" w14:textId="1F9F5839" w:rsidR="00EA23C5" w:rsidRPr="003C7B06" w:rsidRDefault="00EA23C5" w:rsidP="00EA23C5">
      <w:pPr>
        <w:jc w:val="both"/>
        <w:rPr>
          <w:rFonts w:ascii="Times New Roman" w:hAnsi="Times New Roman"/>
          <w:b/>
          <w:i/>
          <w:sz w:val="20"/>
          <w:szCs w:val="20"/>
        </w:rPr>
      </w:pPr>
      <w:r w:rsidRPr="003C7B06">
        <w:rPr>
          <w:rFonts w:ascii="Times New Roman" w:hAnsi="Times New Roman"/>
          <w:i/>
          <w:sz w:val="20"/>
          <w:szCs w:val="20"/>
        </w:rPr>
        <w:t>Los saldos que se depuran son aquellos que no rebasan la cantidad de un peso.</w:t>
      </w:r>
    </w:p>
    <w:p w14:paraId="02C28F78" w14:textId="3485FFA0" w:rsidR="007D1E76" w:rsidRPr="00E74967" w:rsidRDefault="007D1E76" w:rsidP="00CB41C4">
      <w:pPr>
        <w:tabs>
          <w:tab w:val="left" w:leader="underscore" w:pos="9639"/>
        </w:tabs>
        <w:spacing w:after="0" w:line="240" w:lineRule="auto"/>
        <w:jc w:val="both"/>
        <w:rPr>
          <w:rFonts w:cs="Calibri"/>
        </w:rPr>
      </w:pP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B1BC357" w14:textId="32FFF095" w:rsidR="00EA23C5" w:rsidRPr="003C7B06" w:rsidRDefault="00EA23C5" w:rsidP="00EA23C5">
      <w:pPr>
        <w:jc w:val="both"/>
        <w:rPr>
          <w:rFonts w:ascii="Times New Roman" w:hAnsi="Times New Roman"/>
          <w:i/>
          <w:sz w:val="20"/>
          <w:szCs w:val="20"/>
        </w:rPr>
      </w:pPr>
      <w:r w:rsidRPr="003C7B06">
        <w:rPr>
          <w:rFonts w:ascii="Times New Roman" w:hAnsi="Times New Roman"/>
          <w:i/>
          <w:sz w:val="20"/>
          <w:szCs w:val="20"/>
        </w:rPr>
        <w:t>Ninguno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EEA6358" w14:textId="77777777" w:rsidR="00EA23C5" w:rsidRPr="003C7B06" w:rsidRDefault="00EA23C5" w:rsidP="00EA23C5">
      <w:pPr>
        <w:jc w:val="both"/>
        <w:rPr>
          <w:rFonts w:ascii="Times New Roman" w:hAnsi="Times New Roman"/>
          <w:i/>
          <w:sz w:val="20"/>
          <w:szCs w:val="20"/>
        </w:rPr>
      </w:pPr>
      <w:r w:rsidRPr="003C7B06">
        <w:rPr>
          <w:rFonts w:ascii="Times New Roman" w:hAnsi="Times New Roman"/>
          <w:i/>
          <w:sz w:val="20"/>
          <w:szCs w:val="20"/>
        </w:rPr>
        <w:t>Ninguno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0F1F964" w14:textId="77777777" w:rsidR="00EA23C5" w:rsidRPr="003C7B06" w:rsidRDefault="00EA23C5" w:rsidP="00EA23C5">
      <w:pPr>
        <w:jc w:val="both"/>
        <w:rPr>
          <w:rFonts w:ascii="Times New Roman" w:hAnsi="Times New Roman"/>
          <w:i/>
          <w:sz w:val="20"/>
          <w:szCs w:val="20"/>
        </w:rPr>
      </w:pPr>
      <w:r w:rsidRPr="003C7B06">
        <w:rPr>
          <w:rFonts w:ascii="Times New Roman" w:hAnsi="Times New Roman"/>
          <w:i/>
          <w:sz w:val="20"/>
          <w:szCs w:val="20"/>
        </w:rPr>
        <w:t>Ninguno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A96E7FD" w:rsidR="007D1E76" w:rsidRPr="00EA23C5" w:rsidRDefault="00EA23C5" w:rsidP="00CB41C4">
      <w:pPr>
        <w:tabs>
          <w:tab w:val="left" w:leader="underscore" w:pos="9639"/>
        </w:tabs>
        <w:spacing w:after="0" w:line="240" w:lineRule="auto"/>
        <w:jc w:val="both"/>
        <w:rPr>
          <w:rFonts w:cs="Calibri"/>
          <w:i/>
        </w:rPr>
      </w:pPr>
      <w:r w:rsidRPr="00EA23C5">
        <w:rPr>
          <w:rFonts w:cs="Calibri"/>
          <w: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CCB7148" w14:textId="77777777" w:rsidR="00EA23C5" w:rsidRPr="00EA23C5" w:rsidRDefault="00EA23C5" w:rsidP="00EA23C5">
      <w:pPr>
        <w:tabs>
          <w:tab w:val="left" w:leader="underscore" w:pos="9639"/>
        </w:tabs>
        <w:spacing w:after="0" w:line="240" w:lineRule="auto"/>
        <w:jc w:val="both"/>
        <w:rPr>
          <w:rFonts w:cs="Calibri"/>
          <w:i/>
        </w:rPr>
      </w:pPr>
      <w:r w:rsidRPr="00EA23C5">
        <w:rPr>
          <w:rFonts w:cs="Calibri"/>
          <w: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50D2BC6" w14:textId="55DB3962" w:rsidR="00EA23C5" w:rsidRPr="003C7B06" w:rsidRDefault="00EA23C5" w:rsidP="00EA23C5">
      <w:pPr>
        <w:tabs>
          <w:tab w:val="left" w:leader="underscore" w:pos="9639"/>
        </w:tabs>
        <w:spacing w:after="0" w:line="240" w:lineRule="auto"/>
        <w:jc w:val="both"/>
        <w:rPr>
          <w:rFonts w:cs="Calibri"/>
          <w:i/>
          <w:sz w:val="20"/>
          <w:szCs w:val="20"/>
        </w:rPr>
      </w:pPr>
      <w:r w:rsidRPr="003C7B06">
        <w:rPr>
          <w:rFonts w:cs="Calibri"/>
          <w:i/>
          <w:sz w:val="20"/>
          <w:szCs w:val="20"/>
        </w:rPr>
        <w:t xml:space="preserve">Se toman en cuenta los porcentajes emitidos por el </w:t>
      </w:r>
      <w:proofErr w:type="spellStart"/>
      <w:r w:rsidRPr="003C7B06">
        <w:rPr>
          <w:rFonts w:cs="Calibri"/>
          <w:i/>
          <w:sz w:val="20"/>
          <w:szCs w:val="20"/>
        </w:rPr>
        <w:t>conac</w:t>
      </w:r>
      <w:proofErr w:type="spellEnd"/>
      <w:r w:rsidRPr="003C7B06">
        <w:rPr>
          <w:rFonts w:cs="Calibri"/>
          <w:i/>
          <w:sz w:val="20"/>
          <w:szCs w:val="20"/>
        </w:rPr>
        <w:t>.</w:t>
      </w:r>
    </w:p>
    <w:p w14:paraId="18A5CC0A" w14:textId="781A53C9"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53F9C31A" w:rsidR="007D1E76" w:rsidRDefault="00EA23C5" w:rsidP="00CB41C4">
      <w:pPr>
        <w:tabs>
          <w:tab w:val="left" w:leader="underscore" w:pos="9639"/>
        </w:tabs>
        <w:spacing w:after="0" w:line="240" w:lineRule="auto"/>
        <w:jc w:val="both"/>
        <w:rPr>
          <w:rFonts w:cs="Calibri"/>
          <w:i/>
          <w:sz w:val="20"/>
          <w:szCs w:val="20"/>
        </w:rPr>
      </w:pPr>
      <w:r w:rsidRPr="003C7B06">
        <w:rPr>
          <w:rFonts w:cs="Calibri"/>
          <w:i/>
          <w:sz w:val="20"/>
          <w:szCs w:val="20"/>
        </w:rPr>
        <w:t>Ninguno durante 2021</w:t>
      </w:r>
    </w:p>
    <w:p w14:paraId="2FBE9589" w14:textId="77777777" w:rsidR="00EA23C5" w:rsidRPr="00E74967" w:rsidRDefault="00EA23C5"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CBBF59B" w14:textId="6674E65B" w:rsidR="00EA23C5" w:rsidRPr="003C7B06" w:rsidRDefault="00EA23C5" w:rsidP="00EA23C5">
      <w:pPr>
        <w:spacing w:after="0" w:line="240" w:lineRule="auto"/>
        <w:jc w:val="both"/>
        <w:rPr>
          <w:rFonts w:cs="Calibri"/>
          <w:i/>
          <w:sz w:val="20"/>
          <w:szCs w:val="20"/>
        </w:rPr>
      </w:pPr>
      <w:r w:rsidRPr="003C7B06">
        <w:rPr>
          <w:rFonts w:cs="Calibri"/>
          <w:i/>
          <w:sz w:val="20"/>
          <w:szCs w:val="20"/>
        </w:rPr>
        <w:t>Ninguno</w:t>
      </w:r>
    </w:p>
    <w:p w14:paraId="7D1F662D" w14:textId="537F10FF"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CCF9F96" w14:textId="212C7984" w:rsidR="00EA23C5" w:rsidRPr="003C7B06" w:rsidRDefault="00EA23C5" w:rsidP="00EA23C5">
      <w:pPr>
        <w:spacing w:after="0" w:line="240" w:lineRule="auto"/>
        <w:jc w:val="both"/>
        <w:rPr>
          <w:rFonts w:cs="Calibri"/>
          <w:i/>
          <w:sz w:val="20"/>
          <w:szCs w:val="20"/>
        </w:rPr>
      </w:pPr>
      <w:r w:rsidRPr="003C7B06">
        <w:rPr>
          <w:rFonts w:cs="Calibri"/>
          <w:i/>
          <w:sz w:val="20"/>
          <w:szCs w:val="20"/>
        </w:rPr>
        <w:t>Ninguno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3BED759" w14:textId="77777777" w:rsidR="00EA23C5" w:rsidRPr="003C7B06" w:rsidRDefault="00EA23C5" w:rsidP="00EA23C5">
      <w:pPr>
        <w:spacing w:after="0" w:line="240" w:lineRule="auto"/>
        <w:jc w:val="both"/>
        <w:rPr>
          <w:rFonts w:cs="Calibri"/>
          <w:i/>
          <w:sz w:val="20"/>
          <w:szCs w:val="20"/>
        </w:rPr>
      </w:pPr>
      <w:r w:rsidRPr="003C7B06">
        <w:rPr>
          <w:rFonts w:cs="Calibri"/>
          <w:i/>
          <w:sz w:val="20"/>
          <w:szCs w:val="20"/>
        </w:rPr>
        <w:t>NINGUNO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3463FAD" w14:textId="31FC4ACD" w:rsidR="00EA23C5" w:rsidRPr="003C7B06" w:rsidRDefault="00EA23C5" w:rsidP="00EA23C5">
      <w:pPr>
        <w:spacing w:after="0" w:line="240" w:lineRule="auto"/>
        <w:jc w:val="both"/>
        <w:rPr>
          <w:rFonts w:cs="Calibri"/>
          <w:i/>
          <w:sz w:val="20"/>
          <w:szCs w:val="20"/>
        </w:rPr>
      </w:pPr>
      <w:r>
        <w:rPr>
          <w:rFonts w:cs="Calibri"/>
          <w:i/>
          <w:sz w:val="20"/>
          <w:szCs w:val="20"/>
        </w:rPr>
        <w:t>NINGUNA</w:t>
      </w:r>
    </w:p>
    <w:p w14:paraId="42FC9AF6" w14:textId="0C2219D9"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3BFBDE3" w14:textId="77777777" w:rsidR="0066210B" w:rsidRPr="003C7B06" w:rsidRDefault="0066210B" w:rsidP="0066210B">
      <w:pPr>
        <w:spacing w:after="0" w:line="240" w:lineRule="auto"/>
        <w:jc w:val="both"/>
        <w:rPr>
          <w:rFonts w:cs="Calibri"/>
          <w:i/>
          <w:sz w:val="20"/>
          <w:szCs w:val="20"/>
        </w:rPr>
      </w:pPr>
      <w:r w:rsidRPr="003C7B06">
        <w:rPr>
          <w:rFonts w:cs="Calibri"/>
          <w:i/>
          <w:sz w:val="20"/>
          <w:szCs w:val="20"/>
        </w:rPr>
        <w:t>NINGUNO</w:t>
      </w:r>
    </w:p>
    <w:p w14:paraId="65D20F94" w14:textId="2C084159"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65B829" w14:textId="77777777" w:rsidR="0066210B" w:rsidRDefault="0066210B" w:rsidP="00CB41C4">
      <w:pPr>
        <w:tabs>
          <w:tab w:val="left" w:leader="underscore" w:pos="9639"/>
        </w:tabs>
        <w:spacing w:after="0" w:line="240" w:lineRule="auto"/>
        <w:jc w:val="both"/>
        <w:rPr>
          <w:rFonts w:ascii="Times New Roman" w:hAnsi="Times New Roman"/>
          <w:i/>
          <w:sz w:val="20"/>
          <w:szCs w:val="20"/>
        </w:rPr>
      </w:pPr>
    </w:p>
    <w:p w14:paraId="23376542" w14:textId="2904CEBA" w:rsidR="005E231E" w:rsidRDefault="0066210B" w:rsidP="00CB41C4">
      <w:pPr>
        <w:tabs>
          <w:tab w:val="left" w:leader="underscore" w:pos="9639"/>
        </w:tabs>
        <w:spacing w:after="0" w:line="240" w:lineRule="auto"/>
        <w:jc w:val="both"/>
        <w:rPr>
          <w:rFonts w:ascii="Times New Roman" w:hAnsi="Times New Roman"/>
          <w:i/>
          <w:sz w:val="20"/>
          <w:szCs w:val="20"/>
        </w:rPr>
      </w:pPr>
      <w:r w:rsidRPr="003C7B06">
        <w:rPr>
          <w:rFonts w:ascii="Times New Roman" w:hAnsi="Times New Roman"/>
          <w:i/>
          <w:sz w:val="20"/>
          <w:szCs w:val="20"/>
        </w:rPr>
        <w:t>La administración de activos corre a cuenta de la dirección general y el departamento administrativo, mismos que custodian en lo principal</w:t>
      </w:r>
      <w:r>
        <w:rPr>
          <w:rFonts w:ascii="Times New Roman" w:hAnsi="Times New Roman"/>
          <w:i/>
          <w:sz w:val="20"/>
          <w:szCs w:val="20"/>
        </w:rPr>
        <w:t xml:space="preserve"> computadoras personales y portátiles y equipo de oficina. Así mismo</w:t>
      </w:r>
      <w:r w:rsidRPr="003C7B06">
        <w:rPr>
          <w:rFonts w:ascii="Times New Roman" w:hAnsi="Times New Roman"/>
          <w:i/>
          <w:sz w:val="20"/>
          <w:szCs w:val="20"/>
        </w:rPr>
        <w:t xml:space="preserve"> la capacidad de los activos se utiliza al 100 % y </w:t>
      </w:r>
      <w:r>
        <w:rPr>
          <w:rFonts w:ascii="Times New Roman" w:hAnsi="Times New Roman"/>
          <w:i/>
          <w:sz w:val="20"/>
          <w:szCs w:val="20"/>
        </w:rPr>
        <w:t xml:space="preserve">además </w:t>
      </w:r>
      <w:r w:rsidRPr="003C7B06">
        <w:rPr>
          <w:rFonts w:ascii="Times New Roman" w:hAnsi="Times New Roman"/>
          <w:i/>
          <w:sz w:val="20"/>
          <w:szCs w:val="20"/>
        </w:rPr>
        <w:t>se concilian contablemente contra existencia.</w:t>
      </w:r>
    </w:p>
    <w:p w14:paraId="5BAAB42B" w14:textId="77777777" w:rsidR="0066210B" w:rsidRPr="00E74967" w:rsidRDefault="0066210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89F13E" w14:textId="77777777"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NO EXISTEN INVERSIONES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w:t>
      </w:r>
      <w:bookmarkStart w:id="8" w:name="_GoBack"/>
      <w:r w:rsidRPr="00E74967">
        <w:rPr>
          <w:rFonts w:cs="Calibri"/>
        </w:rPr>
        <w:t>Presup</w:t>
      </w:r>
      <w:bookmarkEnd w:id="8"/>
      <w:r w:rsidRPr="00E74967">
        <w:rPr>
          <w:rFonts w:cs="Calibri"/>
        </w:rPr>
        <w:t>uestario Indirecto:</w:t>
      </w:r>
    </w:p>
    <w:p w14:paraId="0DA92B51" w14:textId="77777777"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NO EXISTEN ESTAS INVERSIONES.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73768D4" w14:textId="77777777" w:rsidR="0066210B" w:rsidRPr="003C7B06" w:rsidRDefault="0066210B" w:rsidP="0066210B">
      <w:pPr>
        <w:spacing w:after="0" w:line="240" w:lineRule="auto"/>
        <w:jc w:val="both"/>
        <w:rPr>
          <w:rFonts w:ascii="Times New Roman" w:hAnsi="Times New Roman"/>
          <w:i/>
          <w:sz w:val="20"/>
          <w:szCs w:val="20"/>
        </w:rPr>
      </w:pPr>
      <w:r w:rsidRPr="003C7B06">
        <w:rPr>
          <w:rFonts w:ascii="Times New Roman" w:hAnsi="Times New Roman"/>
          <w:i/>
          <w:sz w:val="20"/>
          <w:szCs w:val="20"/>
        </w:rPr>
        <w:t>NO EXISTEN ESTAS INVERSIONES.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73ECD48" w14:textId="77777777" w:rsidR="0066210B" w:rsidRPr="003C7B06" w:rsidRDefault="0066210B" w:rsidP="0066210B">
      <w:pPr>
        <w:spacing w:after="0" w:line="240" w:lineRule="auto"/>
        <w:jc w:val="both"/>
        <w:rPr>
          <w:rFonts w:ascii="Times New Roman" w:hAnsi="Times New Roman"/>
          <w:i/>
          <w:sz w:val="20"/>
          <w:szCs w:val="20"/>
        </w:rPr>
      </w:pPr>
      <w:r w:rsidRPr="003C7B06">
        <w:rPr>
          <w:rFonts w:ascii="Times New Roman" w:hAnsi="Times New Roman"/>
          <w:i/>
          <w:sz w:val="20"/>
          <w:szCs w:val="20"/>
        </w:rPr>
        <w:t>NO EXISTEN ESTAS INVERSIONES.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09B6E40" w14:textId="77777777" w:rsidR="0066210B" w:rsidRPr="003C7B06" w:rsidRDefault="0066210B" w:rsidP="0066210B">
      <w:pPr>
        <w:spacing w:after="0" w:line="240" w:lineRule="auto"/>
        <w:jc w:val="both"/>
        <w:rPr>
          <w:rFonts w:cs="Calibri"/>
          <w:i/>
          <w:sz w:val="20"/>
          <w:szCs w:val="20"/>
        </w:rPr>
      </w:pPr>
      <w:r w:rsidRPr="003C7B06">
        <w:rPr>
          <w:rFonts w:cs="Calibri"/>
          <w:i/>
          <w:sz w:val="20"/>
          <w:szCs w:val="20"/>
        </w:rPr>
        <w:t>NINGUNO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2074C735" w:rsidR="007D1E76" w:rsidRPr="0066210B" w:rsidRDefault="0066210B" w:rsidP="00CB41C4">
      <w:pPr>
        <w:tabs>
          <w:tab w:val="left" w:leader="underscore" w:pos="9639"/>
        </w:tabs>
        <w:spacing w:after="0" w:line="240" w:lineRule="auto"/>
        <w:jc w:val="both"/>
        <w:rPr>
          <w:rFonts w:cs="Calibri"/>
          <w:i/>
        </w:rPr>
      </w:pPr>
      <w:r>
        <w:rPr>
          <w:rFonts w:cs="Calibri"/>
          <w:i/>
        </w:rPr>
        <w:t>Nada que manifestar.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4DFBAD3" w14:textId="77777777" w:rsidR="0066210B" w:rsidRPr="0066210B" w:rsidRDefault="0066210B" w:rsidP="0066210B">
      <w:pPr>
        <w:tabs>
          <w:tab w:val="left" w:leader="underscore" w:pos="9639"/>
        </w:tabs>
        <w:spacing w:after="0" w:line="240" w:lineRule="auto"/>
        <w:jc w:val="both"/>
        <w:rPr>
          <w:rFonts w:cs="Calibri"/>
          <w:i/>
        </w:rPr>
      </w:pPr>
      <w:r>
        <w:rPr>
          <w:rFonts w:cs="Calibri"/>
          <w:i/>
        </w:rPr>
        <w:t>Nada que manifestar.</w:t>
      </w:r>
    </w:p>
    <w:p w14:paraId="796DC854" w14:textId="32A090CC"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lastRenderedPageBreak/>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A6E514F" w14:textId="77777777" w:rsidR="0066210B" w:rsidRPr="0066210B" w:rsidRDefault="0066210B" w:rsidP="0066210B">
      <w:pPr>
        <w:tabs>
          <w:tab w:val="left" w:leader="underscore" w:pos="9639"/>
        </w:tabs>
        <w:spacing w:after="0" w:line="240" w:lineRule="auto"/>
        <w:jc w:val="both"/>
        <w:rPr>
          <w:rFonts w:cs="Calibri"/>
          <w:i/>
        </w:rPr>
      </w:pPr>
      <w:r>
        <w:rPr>
          <w:rFonts w:cs="Calibri"/>
          <w:i/>
        </w:rPr>
        <w:t>Nada que manifestar.</w:t>
      </w:r>
    </w:p>
    <w:p w14:paraId="6CAD4E54" w14:textId="260F0CE4"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C0EE68D" w14:textId="77777777" w:rsidR="0066210B" w:rsidRPr="0066210B" w:rsidRDefault="0066210B" w:rsidP="0066210B">
      <w:pPr>
        <w:tabs>
          <w:tab w:val="left" w:leader="underscore" w:pos="9639"/>
        </w:tabs>
        <w:spacing w:after="0" w:line="240" w:lineRule="auto"/>
        <w:jc w:val="both"/>
        <w:rPr>
          <w:rFonts w:cs="Calibri"/>
          <w:i/>
        </w:rPr>
      </w:pPr>
      <w:r>
        <w:rPr>
          <w:rFonts w:cs="Calibri"/>
          <w:i/>
        </w:rPr>
        <w:t>Nada que manifestar.</w:t>
      </w:r>
    </w:p>
    <w:p w14:paraId="533390F5" w14:textId="65320C4E"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6C644905" w:rsidR="007D1E76" w:rsidRPr="0066210B" w:rsidRDefault="0066210B" w:rsidP="0066210B">
      <w:pPr>
        <w:tabs>
          <w:tab w:val="left" w:leader="underscore" w:pos="9639"/>
        </w:tabs>
        <w:spacing w:after="0" w:line="240" w:lineRule="auto"/>
        <w:rPr>
          <w:rFonts w:cs="Calibri"/>
          <w:i/>
        </w:rPr>
      </w:pPr>
      <w:r w:rsidRPr="0066210B">
        <w:rPr>
          <w:rFonts w:cs="Calibri"/>
          <w:i/>
        </w:rPr>
        <w:t>Sin información por manifestar.</w:t>
      </w: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3AD73E5" w14:textId="77777777" w:rsidR="0066210B" w:rsidRPr="0066210B" w:rsidRDefault="0066210B" w:rsidP="0066210B">
      <w:pPr>
        <w:tabs>
          <w:tab w:val="left" w:leader="underscore" w:pos="9639"/>
        </w:tabs>
        <w:spacing w:after="0" w:line="240" w:lineRule="auto"/>
        <w:rPr>
          <w:rFonts w:cs="Calibri"/>
          <w:i/>
        </w:rPr>
      </w:pPr>
      <w:r w:rsidRPr="0066210B">
        <w:rPr>
          <w:rFonts w:cs="Calibri"/>
          <w:i/>
        </w:rPr>
        <w:t>Sin información por manifestar.</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617F3F89" w:rsidR="007D1E76" w:rsidRPr="0066210B" w:rsidRDefault="0066210B" w:rsidP="00CB41C4">
      <w:pPr>
        <w:tabs>
          <w:tab w:val="left" w:leader="underscore" w:pos="9639"/>
        </w:tabs>
        <w:spacing w:after="0" w:line="240" w:lineRule="auto"/>
        <w:jc w:val="both"/>
        <w:rPr>
          <w:rFonts w:cs="Calibri"/>
          <w:i/>
        </w:rPr>
      </w:pPr>
      <w:r w:rsidRPr="0066210B">
        <w:rPr>
          <w:rFonts w:cs="Calibri"/>
          <w:i/>
        </w:rPr>
        <w:t>No se cuenta con créditos.</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93044EE" w14:textId="6314D904"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Observación y apego estricto al presupuesto.</w:t>
      </w:r>
    </w:p>
    <w:p w14:paraId="0BD12678" w14:textId="74E4F80F"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Se cuenta con una comisión de presupuesto y gastos para la toma de decisiones.</w:t>
      </w:r>
    </w:p>
    <w:p w14:paraId="71BD926C" w14:textId="0CCEC018"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Se cuenta con una coordinación administrativa para el control de los recursos públicos.</w:t>
      </w:r>
    </w:p>
    <w:p w14:paraId="10A7285B" w14:textId="4B9F1FE2"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Se presenta mensualmente los estados financieros al consejo directivo.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CC03D5C" w14:textId="5196AD2E"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Se observa un presupuesto</w:t>
      </w:r>
      <w:r>
        <w:rPr>
          <w:rFonts w:ascii="Times New Roman" w:hAnsi="Times New Roman"/>
          <w:i/>
          <w:sz w:val="20"/>
          <w:szCs w:val="20"/>
        </w:rPr>
        <w:t xml:space="preserve"> con austeridad en las políticas del ejercicio financiero.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02F8665" w14:textId="71DEC0DD"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Bajo protesta de decir verdad se informa que las decisiones que se toman en la institución no tienen ninguna influencia significativa de parte de los administradores y consejo de dirección.</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F6997" w14:textId="77777777" w:rsidR="00BB451F" w:rsidRDefault="00BB451F" w:rsidP="00E00323">
      <w:pPr>
        <w:spacing w:after="0" w:line="240" w:lineRule="auto"/>
      </w:pPr>
      <w:r>
        <w:separator/>
      </w:r>
    </w:p>
  </w:endnote>
  <w:endnote w:type="continuationSeparator" w:id="0">
    <w:p w14:paraId="5ABD11F3" w14:textId="77777777" w:rsidR="00BB451F" w:rsidRDefault="00BB451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4025A" w:rsidRPr="00D4025A">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A4FF6" w14:textId="77777777" w:rsidR="00BB451F" w:rsidRDefault="00BB451F" w:rsidP="00E00323">
      <w:pPr>
        <w:spacing w:after="0" w:line="240" w:lineRule="auto"/>
      </w:pPr>
      <w:r>
        <w:separator/>
      </w:r>
    </w:p>
  </w:footnote>
  <w:footnote w:type="continuationSeparator" w:id="0">
    <w:p w14:paraId="7F3C5C9C" w14:textId="77777777" w:rsidR="00BB451F" w:rsidRDefault="00BB451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80FEE4B" w:rsidR="00154BA3" w:rsidRDefault="00BA7AB7" w:rsidP="00A4610E">
    <w:pPr>
      <w:pStyle w:val="Encabezado"/>
      <w:spacing w:after="0" w:line="240" w:lineRule="auto"/>
      <w:jc w:val="center"/>
    </w:pPr>
    <w:r>
      <w:t>INSTITUTO MUNICIPAL DE LAS MUJERES</w:t>
    </w:r>
  </w:p>
  <w:p w14:paraId="651A4C4F" w14:textId="01882FA8" w:rsidR="00A4610E" w:rsidRDefault="00A4610E" w:rsidP="00A4610E">
    <w:pPr>
      <w:pStyle w:val="Encabezado"/>
      <w:spacing w:after="0" w:line="240" w:lineRule="auto"/>
      <w:jc w:val="center"/>
    </w:pPr>
    <w:r w:rsidRPr="00A4610E">
      <w:t xml:space="preserve">CORRESPONDINTES AL </w:t>
    </w:r>
    <w:r w:rsidR="00BA7AB7">
      <w:t>3</w:t>
    </w:r>
    <w:r w:rsidR="00D4025A">
      <w:t>0</w:t>
    </w:r>
    <w:r w:rsidR="00BA7AB7">
      <w:t xml:space="preserve"> DE </w:t>
    </w:r>
    <w:r w:rsidR="00D4025A">
      <w:t>JUNIO</w:t>
    </w:r>
    <w:r w:rsidR="00BA7AB7">
      <w:t xml:space="preserv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BB5B29"/>
    <w:multiLevelType w:val="hybridMultilevel"/>
    <w:tmpl w:val="016261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6210B"/>
    <w:rsid w:val="00681C79"/>
    <w:rsid w:val="007610BC"/>
    <w:rsid w:val="007714AB"/>
    <w:rsid w:val="007D1E76"/>
    <w:rsid w:val="007D4484"/>
    <w:rsid w:val="00842682"/>
    <w:rsid w:val="0086459F"/>
    <w:rsid w:val="008C3BB8"/>
    <w:rsid w:val="008E076C"/>
    <w:rsid w:val="0092765C"/>
    <w:rsid w:val="00A4610E"/>
    <w:rsid w:val="00A730E0"/>
    <w:rsid w:val="00AA41E5"/>
    <w:rsid w:val="00AB722B"/>
    <w:rsid w:val="00AE1F6A"/>
    <w:rsid w:val="00BA7AB7"/>
    <w:rsid w:val="00BB451F"/>
    <w:rsid w:val="00C97E1E"/>
    <w:rsid w:val="00CB41C4"/>
    <w:rsid w:val="00CB4D25"/>
    <w:rsid w:val="00CF1316"/>
    <w:rsid w:val="00D13C44"/>
    <w:rsid w:val="00D4025A"/>
    <w:rsid w:val="00D40FC2"/>
    <w:rsid w:val="00D5018E"/>
    <w:rsid w:val="00D975B1"/>
    <w:rsid w:val="00E00323"/>
    <w:rsid w:val="00E74967"/>
    <w:rsid w:val="00E7559F"/>
    <w:rsid w:val="00EA23C5"/>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ECEF9A-D24A-49C2-820F-AA72486A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2438</Words>
  <Characters>13412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enrike H</cp:lastModifiedBy>
  <cp:revision>21</cp:revision>
  <dcterms:created xsi:type="dcterms:W3CDTF">2017-01-12T05:27:00Z</dcterms:created>
  <dcterms:modified xsi:type="dcterms:W3CDTF">2022-07-21T23:32:00Z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